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A9" w:rsidRPr="004529E3" w:rsidRDefault="006165B0" w:rsidP="00C7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9E3">
        <w:rPr>
          <w:rFonts w:ascii="Times New Roman" w:hAnsi="Times New Roman" w:cs="Times New Roman"/>
          <w:b/>
          <w:sz w:val="28"/>
          <w:szCs w:val="28"/>
        </w:rPr>
        <w:t xml:space="preserve">Wczoraj i dziś kl. 7 </w:t>
      </w:r>
      <w:r w:rsidR="004529E3" w:rsidRPr="004529E3">
        <w:rPr>
          <w:rFonts w:ascii="Times New Roman" w:hAnsi="Times New Roman" w:cs="Times New Roman"/>
          <w:b/>
          <w:sz w:val="28"/>
          <w:szCs w:val="28"/>
        </w:rPr>
        <w:tab/>
      </w:r>
    </w:p>
    <w:p w:rsidR="00C7607C" w:rsidRDefault="00D910DB" w:rsidP="00C7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bookmarkStart w:id="0" w:name="_GoBack"/>
      <w:bookmarkEnd w:id="0"/>
      <w:r w:rsidR="00A67EF1" w:rsidRPr="004529E3">
        <w:rPr>
          <w:rFonts w:ascii="Times New Roman" w:hAnsi="Times New Roman" w:cs="Times New Roman"/>
          <w:b/>
          <w:sz w:val="28"/>
          <w:szCs w:val="28"/>
        </w:rPr>
        <w:t>ymagania na oceny</w:t>
      </w:r>
      <w:r w:rsidR="00C7607C" w:rsidRPr="004529E3">
        <w:rPr>
          <w:rFonts w:ascii="Times New Roman" w:hAnsi="Times New Roman" w:cs="Times New Roman"/>
          <w:b/>
          <w:sz w:val="28"/>
          <w:szCs w:val="28"/>
        </w:rPr>
        <w:t xml:space="preserve"> do historii dla klasy 7 szkoły podstawowej</w:t>
      </w:r>
    </w:p>
    <w:p w:rsidR="004529E3" w:rsidRPr="004529E3" w:rsidRDefault="004529E3" w:rsidP="00C76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9E3" w:rsidRPr="004529E3" w:rsidRDefault="004529E3" w:rsidP="004529E3">
      <w:pPr>
        <w:spacing w:after="0"/>
        <w:ind w:left="7788"/>
        <w:rPr>
          <w:rFonts w:cstheme="minorHAnsi"/>
          <w:b/>
          <w:sz w:val="24"/>
          <w:szCs w:val="24"/>
        </w:rPr>
      </w:pPr>
      <w:r w:rsidRPr="00992348">
        <w:rPr>
          <w:rFonts w:ascii="Times New Roman" w:hAnsi="Times New Roman" w:cs="Times New Roman"/>
          <w:b/>
          <w:i/>
          <w:sz w:val="28"/>
          <w:szCs w:val="28"/>
        </w:rPr>
        <w:t>Prowadząca zajęcia: Małgorzata Potoczna-Galera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w których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 xml:space="preserve">dekabrystów (XII 1825), wojny </w:t>
            </w:r>
            <w:r w:rsidR="003E0110" w:rsidRPr="000C67C6">
              <w:rPr>
                <w:rFonts w:cs="Humanst521EU-Normal"/>
                <w:sz w:val="20"/>
                <w:szCs w:val="20"/>
              </w:rPr>
              <w:lastRenderedPageBreak/>
              <w:t>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Wiosny Ludów dla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wskazuje na mapie podział polityczny ziem polskich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NoSpacing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NoSpacing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NoSpacing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NoSpacing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NoSpacing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NoSpacing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NoSpacing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NoSpacing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NoSpacing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15" w:rsidRDefault="00115415" w:rsidP="00254330">
      <w:pPr>
        <w:spacing w:after="0" w:line="240" w:lineRule="auto"/>
      </w:pPr>
      <w:r>
        <w:separator/>
      </w:r>
    </w:p>
  </w:endnote>
  <w:endnote w:type="continuationSeparator" w:id="0">
    <w:p w:rsidR="00115415" w:rsidRDefault="00115415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10D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15" w:rsidRDefault="00115415" w:rsidP="00254330">
      <w:pPr>
        <w:spacing w:after="0" w:line="240" w:lineRule="auto"/>
      </w:pPr>
      <w:r>
        <w:separator/>
      </w:r>
    </w:p>
  </w:footnote>
  <w:footnote w:type="continuationSeparator" w:id="0">
    <w:p w:rsidR="00115415" w:rsidRDefault="00115415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24203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5415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327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29E3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5B0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2D9C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10DB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8838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4"/>
  </w:style>
  <w:style w:type="paragraph" w:styleId="Footer">
    <w:name w:val="footer"/>
    <w:basedOn w:val="Normal"/>
    <w:link w:val="Foot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4"/>
  </w:style>
  <w:style w:type="paragraph" w:styleId="NoSpacing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F014F-346F-4BCE-88CE-72914D1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11877</Words>
  <Characters>67700</Characters>
  <Application>Microsoft Office Word</Application>
  <DocSecurity>0</DocSecurity>
  <Lines>564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79419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Małgosia</cp:lastModifiedBy>
  <cp:revision>6</cp:revision>
  <dcterms:created xsi:type="dcterms:W3CDTF">2022-09-05T19:15:00Z</dcterms:created>
  <dcterms:modified xsi:type="dcterms:W3CDTF">2022-09-05T19:31:00Z</dcterms:modified>
</cp:coreProperties>
</file>