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1" w:rsidRPr="0046746D" w:rsidRDefault="00403BCA" w:rsidP="00122F21">
      <w:pPr>
        <w:pStyle w:val="Standard"/>
        <w:autoSpaceDE w:val="0"/>
        <w:spacing w:after="200" w:line="276" w:lineRule="auto"/>
      </w:pPr>
      <w:r>
        <w:rPr>
          <w:rFonts w:ascii="Calibri" w:eastAsia="Calibri" w:hAnsi="Calibri" w:cs="Calibri"/>
          <w:b/>
          <w:bCs/>
          <w:color w:val="FF0080"/>
          <w:sz w:val="48"/>
          <w:szCs w:val="48"/>
        </w:rPr>
        <w:t xml:space="preserve">               </w:t>
      </w:r>
      <w:r w:rsidR="00122F21">
        <w:rPr>
          <w:rFonts w:ascii="Calibri" w:eastAsia="Calibri" w:hAnsi="Calibri" w:cs="Calibri"/>
          <w:b/>
          <w:bCs/>
          <w:color w:val="FF0080"/>
          <w:sz w:val="48"/>
          <w:szCs w:val="48"/>
        </w:rPr>
        <w:t xml:space="preserve"> </w:t>
      </w:r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>"DOPALACZE</w:t>
      </w:r>
      <w:r w:rsidR="001628F8">
        <w:rPr>
          <w:rFonts w:ascii="Calibri" w:eastAsia="Calibri" w:hAnsi="Calibri" w:cs="Calibri"/>
          <w:b/>
          <w:bCs/>
          <w:color w:val="FF0000"/>
          <w:sz w:val="44"/>
          <w:szCs w:val="44"/>
        </w:rPr>
        <w:t>’’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 xml:space="preserve">  -  </w:t>
      </w:r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 xml:space="preserve"> Zagrożenie XX</w:t>
      </w:r>
      <w:r w:rsidR="001628F8">
        <w:rPr>
          <w:rFonts w:ascii="Calibri" w:eastAsia="Calibri" w:hAnsi="Calibri" w:cs="Calibri"/>
          <w:b/>
          <w:bCs/>
          <w:color w:val="FF0000"/>
          <w:sz w:val="44"/>
          <w:szCs w:val="44"/>
        </w:rPr>
        <w:t>I wieku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2E885607" wp14:editId="3F590B8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3600" cy="187200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48"/>
          <w:szCs w:val="48"/>
        </w:rPr>
        <w:t xml:space="preserve"> </w:t>
      </w:r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</w:rPr>
        <w:t>Co to są „dopalacze”?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</w:rPr>
        <w:t>Potoczna nazwa r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óżnego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rodzaju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produktów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zawierających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związki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stanowiące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pochodne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zakazanych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substancji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psychoaktywnych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(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np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.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amfetaminy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)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lub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preparaty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ziołowe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zawierające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związki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halucynogenne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,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które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nie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znajdują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się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na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liście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środków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kontrolowanych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przez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ustawę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o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przeciwdziałaniu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narkomani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.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</w:pP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Jak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wyglądają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 xml:space="preserve"> ?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Postać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fizyczna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tych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produktów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zbliżona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jest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wyglądem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do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narkotyków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. </w:t>
      </w:r>
      <w:r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 </w:t>
      </w: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„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Dopalacze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”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występują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w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postaci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: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</w:pP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-</w:t>
      </w:r>
      <w:r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 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białego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proszku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,</w:t>
      </w:r>
    </w:p>
    <w:p w:rsidR="00122F21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 w:rsidRPr="0046746D"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561B4035" wp14:editId="6E7B241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72520" cy="1790640"/>
            <wp:effectExtent l="0" t="0" r="0" b="6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520" cy="179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- 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kapsułek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lub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tabletek</w:t>
      </w:r>
      <w:proofErr w:type="spellEnd"/>
      <w:r>
        <w:rPr>
          <w:rFonts w:ascii="Calibri" w:eastAsia="Calibri" w:hAnsi="Calibri" w:cs="Calibri"/>
          <w:b/>
          <w:bCs/>
          <w:color w:val="004DBB"/>
          <w:sz w:val="32"/>
          <w:szCs w:val="32"/>
          <w:lang w:val="en-US"/>
        </w:rPr>
        <w:t>,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</w:pP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- 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suszu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roślinnego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(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liście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,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nasiona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,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ekstrakt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,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skręty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),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- 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suszu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grzybów</w:t>
      </w:r>
      <w:proofErr w:type="spellEnd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  <w:lang w:val="en-US"/>
        </w:rPr>
        <w:t>.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Jak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działają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dopalacze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  <w:lang w:val="en-US"/>
        </w:rPr>
        <w:t>?</w:t>
      </w:r>
    </w:p>
    <w:p w:rsidR="00122F21" w:rsidRDefault="00122F21" w:rsidP="00122F21">
      <w:pPr>
        <w:pStyle w:val="Standard"/>
        <w:autoSpaceDE w:val="0"/>
        <w:spacing w:after="200"/>
        <w:rPr>
          <w:color w:val="6600CC"/>
          <w:sz w:val="28"/>
          <w:szCs w:val="28"/>
        </w:rPr>
      </w:pPr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„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Dopalacze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”,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jak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większość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substancji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psychoaktywnych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,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działają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na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ośrodkowy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układ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nerwowy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i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po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ich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zażyciu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zmienia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się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nastrój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i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zachowanie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człowieka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.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Efekty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jakie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wywołuje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spożycie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tego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typu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środków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przypominają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te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po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zażyciu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amfetaminy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i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innych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narkotyków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sz w:val="28"/>
          <w:szCs w:val="28"/>
          <w:lang w:val="en-US"/>
        </w:rPr>
        <w:t>.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  <w:sz w:val="28"/>
          <w:szCs w:val="28"/>
        </w:rPr>
      </w:pP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>Objawy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>po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>zażyciu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 xml:space="preserve"> „</w:t>
      </w:r>
      <w:proofErr w:type="spellStart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>dopalaczy</w:t>
      </w:r>
      <w:proofErr w:type="spellEnd"/>
      <w:r w:rsidRPr="0046746D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>”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W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zależności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od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przyjętej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substancji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mogą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wystąpić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następujące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objawy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: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lastRenderedPageBreak/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Pobudzenie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psychoruchowe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lub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odprężenie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Euforia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Przypływ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energii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Rozdrażnienie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Gonitwa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myśli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Huśtawka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nastrojów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Stany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depresyjne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Halucynacje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Utrata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apetytu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Zaburzenia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snu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Przekrwienia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gałek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ocznych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Wymioty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  <w:lang w:val="en-US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Biegunka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-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Trudności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z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oceną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i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kontrolą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 xml:space="preserve"> </w:t>
      </w:r>
      <w:proofErr w:type="spellStart"/>
      <w:r w:rsidRPr="0046746D">
        <w:rPr>
          <w:rFonts w:ascii="Calibri" w:eastAsia="Calibri" w:hAnsi="Calibri" w:cs="Calibri"/>
          <w:b/>
          <w:bCs/>
          <w:color w:val="6600CC"/>
          <w:lang w:val="en-US"/>
        </w:rPr>
        <w:t>sytuacji</w:t>
      </w:r>
      <w:proofErr w:type="spellEnd"/>
      <w:r w:rsidRPr="0046746D">
        <w:rPr>
          <w:rFonts w:ascii="Calibri" w:eastAsia="Calibri" w:hAnsi="Calibri" w:cs="Calibri"/>
          <w:b/>
          <w:bCs/>
          <w:color w:val="6600CC"/>
        </w:rPr>
        <w:t xml:space="preserve"> </w:t>
      </w:r>
      <w:r w:rsidRPr="0046746D">
        <w:rPr>
          <w:rFonts w:ascii="Calibri" w:hAnsi="Calibri"/>
          <w:b/>
          <w:bCs/>
          <w:color w:val="6600CC"/>
        </w:rPr>
        <w:t>(zwiększone ryzyko wypadku, urazów, utraty przytomności)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-Wzrost tętna i ciśnienia tętniczego;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-Podniesienie temperatury ciała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-Drżenie rąk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-Drgawki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-Konwulsje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-Zaburzenia koncentracji uwagi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-Problemy z oddychaniem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-Niezborność ruchowa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-Nadwrażliwość na bodźce np. Światło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-Stany lękowe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  <w:sz w:val="32"/>
          <w:szCs w:val="32"/>
        </w:rPr>
      </w:pPr>
      <w:r w:rsidRPr="0046746D">
        <w:rPr>
          <w:rStyle w:val="StrongEmphasis"/>
          <w:rFonts w:ascii="Calibri" w:hAnsi="Calibri"/>
          <w:color w:val="000033"/>
          <w:sz w:val="32"/>
          <w:szCs w:val="32"/>
          <w:shd w:val="clear" w:color="auto" w:fill="FFFF00"/>
        </w:rPr>
        <w:t>„</w:t>
      </w:r>
      <w:r w:rsidRPr="0046746D">
        <w:rPr>
          <w:rStyle w:val="StrongEmphasis"/>
          <w:rFonts w:ascii="Calibri" w:hAnsi="Calibri"/>
          <w:b w:val="0"/>
          <w:color w:val="000033"/>
          <w:sz w:val="32"/>
          <w:szCs w:val="32"/>
          <w:shd w:val="clear" w:color="auto" w:fill="FFFF00"/>
        </w:rPr>
        <w:t>Dopalacze” to substancje, które można przedawkować, także ze skutkiem śmiertelnym.</w:t>
      </w:r>
    </w:p>
    <w:p w:rsidR="00122F21" w:rsidRPr="0046746D" w:rsidRDefault="00122F21" w:rsidP="00122F21">
      <w:pPr>
        <w:pStyle w:val="Standard"/>
        <w:autoSpaceDE w:val="0"/>
        <w:spacing w:after="200"/>
      </w:pP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 </w:t>
      </w:r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>Sygnały, które mogą wskazywać, że bliska osoba bierze „dopalacze”</w:t>
      </w:r>
      <w:r>
        <w:rPr>
          <w:rFonts w:ascii="Calibri" w:hAnsi="Calibri"/>
          <w:b/>
          <w:bCs/>
          <w:color w:val="FF6600"/>
          <w:sz w:val="48"/>
          <w:szCs w:val="48"/>
        </w:rPr>
        <w:br/>
      </w:r>
      <w:r w:rsidRPr="0046746D">
        <w:rPr>
          <w:rFonts w:ascii="Calibri" w:hAnsi="Calibri"/>
          <w:b/>
          <w:bCs/>
          <w:color w:val="6600CC"/>
        </w:rPr>
        <w:t>-  Zwolnione reakcje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 spadek nastroju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 stany depresyjne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 zaczerwienione oczy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 zmęczenie albo nienaturalne rozbawienie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lastRenderedPageBreak/>
        <w:t>-  wycofanie się z kontaktów z rodziną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zamykanie się w swoim pokoju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sprzedaż wartościowych rzeczy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kłamstwa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wyłudzanie pieniędzy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brak apetytu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chudnięcie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wilczy głód po obudzeniu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mówienie, że dopalacze nie są niebezpieczne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można je brać bez szkody dla organizmu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 rzeczach dziecka są saszetki z kolorową grafiką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tabletki nieznanego pochodzenia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mieszanki ziół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kłopoty w szkole (wagary, uwagi od nauczyciela, słabe oceny, spóźnienia)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>Co zrobić, gdy podejrzewamy, że dziecko używa „dopalaczy” lub innych narkotyków</w:t>
      </w:r>
      <w:r>
        <w:rPr>
          <w:rFonts w:ascii="Calibri" w:hAnsi="Calibri"/>
          <w:b/>
          <w:bCs/>
          <w:color w:val="6600CC"/>
          <w:sz w:val="40"/>
          <w:szCs w:val="40"/>
        </w:rPr>
        <w:br/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Nie zwlekaj, zareaguj od razu, ale nie działaj pod wpływem emocji – porozmawiaj z dzieckiem;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Zapytaj o powody, dlaczego używa tych substancji;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Uświadom mu konsekwencje i zagrożenia związane z ich używaniem;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Nie daj się przekonać argumentom dziecka, że to niegroźne lub, że to taka moda;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Powiedz, że martwisz się o dziecko a to co zauważyłeś mocno Cię niepokoi;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Określ jasno zasady i postawę wobec dopalaczy; 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Jeśli uznasz za konieczność wprowadź nowe zasady i konsekwencje (np. czasowe cofnięcie przywilejów)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Jeśli stwierdzisz, że zagrożenie jest poważne, szukaj pomocy u specjalistów (psycholog, pedagog szkolny, terapeuta uzależnień);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Rozmawiaj na temat postawy asertywności, czyli umiejętności obrony własnego zdania w sytuacji namawiania do czegoś, co jest związane z zachowaniem niebezpiecznym;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Zawiąż koalicję z innymi rodzicami – porozmawiajcie o problemie wspólnie łatwiej stawić czoła i znaleźć rozwiązanie.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 w:rsidRPr="0046746D">
        <w:rPr>
          <w:rFonts w:ascii="Calibri" w:hAnsi="Calibri"/>
          <w:b/>
          <w:bCs/>
          <w:color w:val="FF3333"/>
          <w:sz w:val="32"/>
          <w:szCs w:val="32"/>
        </w:rPr>
        <w:lastRenderedPageBreak/>
        <w:t>Czynniki chroniące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Okazywanie miłości i zainteresowania życiem dziecka (mów dziecku, że jest dla Ciebie najważniejszą osobą, że zależy Ci by było zdrowe i szczęśliwe, poznaj jego przyjaciół, zainteresowania, sposoby spędzania wolnego czasu);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Dobre porozumiewanie się z dzieckiem (rozmawiaj z dzieckiem, często pytaj o jego zdanie, rozmawiaj także na trudne tematy – narkotyki, alkohol, dojrzewanie)</w:t>
      </w:r>
      <w:r w:rsidRPr="00AA6CF9">
        <w:rPr>
          <w:rFonts w:ascii="Calibri" w:hAnsi="Calibri"/>
          <w:b/>
          <w:bCs/>
          <w:color w:val="6600CC"/>
          <w:sz w:val="28"/>
          <w:szCs w:val="28"/>
        </w:rPr>
        <w:br/>
        <w:t>Zdrowa dyscyplina (postaw jasne granice – wyraź zdecydowany sprzeciw wobec używania narkotyków i innych środków psychoaktywnych, podaj oczekiwania dotyczące godzin powrotu do domu, kontaktów z kolegami, sprawdzaj na co wydawane jest kieszonkowe);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Wspieranie dziecka (doceniaj wysiłki w osiąganiu celów, chwal dziecko za sukcesy i odpowiedzialność – podnosisz tym samym jego samoocenę.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Zapewnij, że zawsze może liczyć na Twoją pomoc w trudnych sytuacjach)</w:t>
      </w:r>
    </w:p>
    <w:p w:rsidR="00122F21" w:rsidRDefault="00122F21" w:rsidP="00122F21">
      <w:pPr>
        <w:pStyle w:val="Standard"/>
        <w:autoSpaceDE w:val="0"/>
        <w:spacing w:after="200"/>
        <w:rPr>
          <w:rStyle w:val="StrongEmphasis"/>
          <w:rFonts w:ascii="Calibri" w:hAnsi="Calibri"/>
          <w:color w:val="FF6600"/>
          <w:sz w:val="32"/>
          <w:szCs w:val="32"/>
        </w:rPr>
      </w:pPr>
      <w:r>
        <w:rPr>
          <w:rStyle w:val="StrongEmphasis"/>
          <w:rFonts w:ascii="Calibri" w:hAnsi="Calibri"/>
          <w:color w:val="FF6600"/>
          <w:sz w:val="32"/>
          <w:szCs w:val="32"/>
        </w:rPr>
        <w:t xml:space="preserve">                                           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>
        <w:rPr>
          <w:rStyle w:val="StrongEmphasis"/>
          <w:rFonts w:ascii="Calibri" w:hAnsi="Calibri"/>
          <w:color w:val="FF6600"/>
          <w:sz w:val="32"/>
          <w:szCs w:val="32"/>
        </w:rPr>
        <w:t xml:space="preserve">                                           </w:t>
      </w:r>
      <w:r w:rsidRPr="0046746D">
        <w:rPr>
          <w:rStyle w:val="StrongEmphasis"/>
          <w:rFonts w:ascii="Calibri" w:hAnsi="Calibri"/>
          <w:b w:val="0"/>
          <w:color w:val="FF6600"/>
          <w:sz w:val="32"/>
          <w:szCs w:val="32"/>
        </w:rPr>
        <w:t>Mity na temat „dopalaczy”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6600"/>
          <w:sz w:val="32"/>
          <w:szCs w:val="32"/>
        </w:rPr>
      </w:pPr>
      <w:r w:rsidRPr="0046746D">
        <w:rPr>
          <w:rFonts w:ascii="Calibri" w:hAnsi="Calibri"/>
          <w:b/>
          <w:bCs/>
          <w:color w:val="FF6600"/>
          <w:sz w:val="32"/>
          <w:szCs w:val="32"/>
        </w:rPr>
        <w:t>„Dopalacze” to tylko niegroźne zioła.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Część „dopalaczy” określana jest jako zioło. Producenci sugerują, że są to rośliny używane w medycynie ludowej. Najczęściej jest to produkt nasączony różnymi chemicznymi substancjami, które mają zwiększyć efekt działania. Niektóre mieszanki mają 10 lub więcej różnych substancji.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Nie jest możliwe przewidzenie wpływu działania tych mieszanek na organizm człowieka. Niektóre z nich działają stymulująco inne uspokajająco lub halucynogennie. Oddziaływanie na organizm różnych substancji może być niebezpieczne.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3333"/>
          <w:sz w:val="32"/>
          <w:szCs w:val="32"/>
        </w:rPr>
      </w:pPr>
      <w:r>
        <w:rPr>
          <w:rFonts w:ascii="Calibri" w:hAnsi="Calibri"/>
          <w:b/>
          <w:bCs/>
          <w:color w:val="6600CC"/>
          <w:sz w:val="32"/>
          <w:szCs w:val="32"/>
        </w:rPr>
        <w:t xml:space="preserve"> </w:t>
      </w: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Jak zmienia się </w:t>
      </w:r>
      <w:r>
        <w:rPr>
          <w:rFonts w:ascii="Calibri" w:hAnsi="Calibri"/>
          <w:b/>
          <w:bCs/>
          <w:color w:val="FF3333"/>
          <w:sz w:val="32"/>
          <w:szCs w:val="32"/>
        </w:rPr>
        <w:t>wygląd osób zażywających</w:t>
      </w: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 narkotyki</w:t>
      </w:r>
    </w:p>
    <w:p w:rsidR="00122F21" w:rsidRDefault="00122F21" w:rsidP="00122F21">
      <w:pPr>
        <w:pStyle w:val="Standard"/>
        <w:autoSpaceDE w:val="0"/>
        <w:spacing w:after="200"/>
      </w:pP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3333"/>
          <w:sz w:val="28"/>
          <w:szCs w:val="28"/>
        </w:rPr>
      </w:pPr>
      <w:r>
        <w:rPr>
          <w:rFonts w:ascii="Calibri" w:hAnsi="Calibri"/>
          <w:b/>
          <w:bCs/>
          <w:noProof/>
          <w:color w:val="FF3333"/>
          <w:sz w:val="48"/>
          <w:szCs w:val="4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5257E33" wp14:editId="0A672234">
            <wp:simplePos x="0" y="0"/>
            <wp:positionH relativeFrom="column">
              <wp:posOffset>145440</wp:posOffset>
            </wp:positionH>
            <wp:positionV relativeFrom="paragraph">
              <wp:posOffset>57240</wp:posOffset>
            </wp:positionV>
            <wp:extent cx="2762280" cy="1657439"/>
            <wp:effectExtent l="0" t="0" r="0" b="0"/>
            <wp:wrapTopAndBottom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80" cy="165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FF3333"/>
          <w:sz w:val="48"/>
          <w:szCs w:val="48"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3197D6CB" wp14:editId="2918028A">
            <wp:simplePos x="0" y="0"/>
            <wp:positionH relativeFrom="column">
              <wp:posOffset>3246120</wp:posOffset>
            </wp:positionH>
            <wp:positionV relativeFrom="paragraph">
              <wp:posOffset>0</wp:posOffset>
            </wp:positionV>
            <wp:extent cx="2467080" cy="1847880"/>
            <wp:effectExtent l="0" t="0" r="9420" b="0"/>
            <wp:wrapTopAndBottom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80" cy="184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FF3333"/>
          <w:sz w:val="48"/>
          <w:szCs w:val="48"/>
        </w:rPr>
        <w:t xml:space="preserve">                                                   </w:t>
      </w:r>
      <w:r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  <w:r w:rsidRPr="00AA6CF9">
        <w:rPr>
          <w:rFonts w:ascii="Calibri" w:hAnsi="Calibri"/>
          <w:color w:val="000000"/>
          <w:sz w:val="28"/>
          <w:szCs w:val="28"/>
        </w:rPr>
        <w:t>Wasza pielęgniarka szkolna.</w:t>
      </w:r>
    </w:p>
    <w:p w:rsidR="00272721" w:rsidRDefault="001628F8"/>
    <w:sectPr w:rsidR="00272721">
      <w:pgSz w:w="11906" w:h="16838"/>
      <w:pgMar w:top="600" w:right="1134" w:bottom="48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3B"/>
    <w:rsid w:val="00122F21"/>
    <w:rsid w:val="001628F8"/>
    <w:rsid w:val="00323B40"/>
    <w:rsid w:val="00403BCA"/>
    <w:rsid w:val="00824D3B"/>
    <w:rsid w:val="00C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2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4</cp:revision>
  <dcterms:created xsi:type="dcterms:W3CDTF">2020-06-09T08:56:00Z</dcterms:created>
  <dcterms:modified xsi:type="dcterms:W3CDTF">2020-06-09T09:01:00Z</dcterms:modified>
</cp:coreProperties>
</file>